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75296" w14:textId="029A713E" w:rsidR="00C06F8E" w:rsidRDefault="002469B9" w:rsidP="00C06F8E">
      <w:pPr>
        <w:spacing w:before="116" w:line="276" w:lineRule="exact"/>
        <w:ind w:right="432"/>
        <w:jc w:val="both"/>
        <w:textAlignment w:val="baseline"/>
        <w:rPr>
          <w:rFonts w:ascii="Calibri" w:hAnsi="Calibri" w:cs="Calibri"/>
          <w:color w:val="050505"/>
          <w:sz w:val="22"/>
          <w:szCs w:val="22"/>
        </w:rPr>
      </w:pPr>
      <w:r>
        <w:rPr>
          <w:rFonts w:ascii="Calibri" w:hAnsi="Calibri" w:cs="Calibri"/>
          <w:color w:val="050505"/>
          <w:sz w:val="22"/>
          <w:szCs w:val="22"/>
        </w:rPr>
        <w:t xml:space="preserve">Template </w:t>
      </w:r>
      <w:r w:rsidR="002D5B67">
        <w:rPr>
          <w:rFonts w:ascii="Calibri" w:hAnsi="Calibri" w:cs="Calibri"/>
          <w:color w:val="050505"/>
          <w:sz w:val="22"/>
          <w:szCs w:val="22"/>
        </w:rPr>
        <w:t xml:space="preserve">Correspondence </w:t>
      </w:r>
      <w:r w:rsidR="00C06F8E">
        <w:rPr>
          <w:rFonts w:ascii="Calibri" w:hAnsi="Calibri" w:cs="Calibri"/>
          <w:color w:val="050505"/>
          <w:sz w:val="22"/>
          <w:szCs w:val="22"/>
        </w:rPr>
        <w:t xml:space="preserve">to </w:t>
      </w:r>
      <w:r w:rsidR="008B4AA0">
        <w:rPr>
          <w:rFonts w:ascii="Calibri" w:hAnsi="Calibri" w:cs="Calibri"/>
          <w:color w:val="050505"/>
          <w:sz w:val="22"/>
          <w:szCs w:val="22"/>
        </w:rPr>
        <w:t xml:space="preserve">Individuals </w:t>
      </w:r>
      <w:r w:rsidR="002B1BC0">
        <w:rPr>
          <w:rFonts w:ascii="Calibri" w:hAnsi="Calibri" w:cs="Calibri"/>
          <w:color w:val="050505"/>
          <w:sz w:val="22"/>
          <w:szCs w:val="22"/>
        </w:rPr>
        <w:t xml:space="preserve">whose </w:t>
      </w:r>
      <w:r w:rsidR="008B4AA0">
        <w:rPr>
          <w:rFonts w:ascii="Calibri" w:hAnsi="Calibri" w:cs="Calibri"/>
          <w:color w:val="050505"/>
          <w:sz w:val="22"/>
          <w:szCs w:val="22"/>
        </w:rPr>
        <w:t xml:space="preserve">PII </w:t>
      </w:r>
      <w:r w:rsidR="002B1BC0">
        <w:rPr>
          <w:rFonts w:ascii="Calibri" w:hAnsi="Calibri" w:cs="Calibri"/>
          <w:color w:val="050505"/>
          <w:sz w:val="22"/>
          <w:szCs w:val="22"/>
        </w:rPr>
        <w:t>may have been accessed</w:t>
      </w:r>
      <w:r w:rsidR="008B4AA0">
        <w:rPr>
          <w:rFonts w:ascii="Calibri" w:hAnsi="Calibri" w:cs="Calibri"/>
          <w:color w:val="050505"/>
          <w:sz w:val="22"/>
          <w:szCs w:val="22"/>
        </w:rPr>
        <w:t xml:space="preserve"> and/or exfiltrated</w:t>
      </w:r>
      <w:r w:rsidR="00C06F8E">
        <w:rPr>
          <w:rFonts w:ascii="Calibri" w:hAnsi="Calibri" w:cs="Calibri"/>
          <w:color w:val="050505"/>
          <w:sz w:val="22"/>
          <w:szCs w:val="22"/>
        </w:rPr>
        <w:t>:</w:t>
      </w:r>
    </w:p>
    <w:p w14:paraId="73B80E98" w14:textId="65A5D5B3" w:rsidR="00C06F8E" w:rsidRPr="002B1BC0" w:rsidRDefault="00C06F8E" w:rsidP="00C06F8E">
      <w:pPr>
        <w:spacing w:before="116" w:line="276" w:lineRule="exact"/>
        <w:ind w:right="432"/>
        <w:jc w:val="both"/>
        <w:textAlignment w:val="baseline"/>
        <w:rPr>
          <w:rFonts w:ascii="Calibri" w:hAnsi="Calibri" w:cs="Calibri"/>
          <w:b/>
          <w:color w:val="050505"/>
          <w:sz w:val="22"/>
          <w:szCs w:val="22"/>
        </w:rPr>
      </w:pPr>
      <w:r w:rsidRPr="002B1BC0">
        <w:rPr>
          <w:rFonts w:ascii="Calibri" w:hAnsi="Calibri" w:cs="Calibri"/>
          <w:b/>
          <w:color w:val="050505"/>
          <w:sz w:val="22"/>
          <w:szCs w:val="22"/>
        </w:rPr>
        <w:t xml:space="preserve">Subject: </w:t>
      </w:r>
      <w:r w:rsidR="0064525D">
        <w:rPr>
          <w:rFonts w:ascii="Calibri" w:hAnsi="Calibri" w:cs="Calibri"/>
          <w:b/>
          <w:color w:val="050505"/>
          <w:sz w:val="22"/>
          <w:szCs w:val="22"/>
        </w:rPr>
        <w:t>AAA Energy Services</w:t>
      </w:r>
      <w:r w:rsidR="00F772C8">
        <w:rPr>
          <w:rFonts w:ascii="Calibri" w:hAnsi="Calibri" w:cs="Calibri"/>
          <w:b/>
          <w:color w:val="050505"/>
          <w:sz w:val="22"/>
          <w:szCs w:val="22"/>
        </w:rPr>
        <w:t xml:space="preserve"> Co.</w:t>
      </w:r>
      <w:r w:rsidR="0064525D">
        <w:rPr>
          <w:rFonts w:ascii="Calibri" w:hAnsi="Calibri" w:cs="Calibri"/>
          <w:b/>
          <w:color w:val="050505"/>
          <w:sz w:val="22"/>
          <w:szCs w:val="22"/>
        </w:rPr>
        <w:t xml:space="preserve">, </w:t>
      </w:r>
      <w:r w:rsidRPr="002B1BC0">
        <w:rPr>
          <w:rFonts w:ascii="Calibri" w:hAnsi="Calibri" w:cs="Calibri"/>
          <w:b/>
          <w:color w:val="050505"/>
          <w:sz w:val="22"/>
          <w:szCs w:val="22"/>
        </w:rPr>
        <w:t>Notice of Data Breach, Protective Measures</w:t>
      </w:r>
      <w:r w:rsidR="002B1BC0">
        <w:rPr>
          <w:rFonts w:ascii="Calibri" w:hAnsi="Calibri" w:cs="Calibri"/>
          <w:b/>
          <w:color w:val="050505"/>
          <w:sz w:val="22"/>
          <w:szCs w:val="22"/>
        </w:rPr>
        <w:t xml:space="preserve"> Against Identity/Credit Theft</w:t>
      </w:r>
    </w:p>
    <w:p w14:paraId="7714CFB5" w14:textId="77777777" w:rsidR="002B1BC0" w:rsidRDefault="002B1BC0" w:rsidP="00C06F8E">
      <w:pPr>
        <w:spacing w:before="116" w:line="276" w:lineRule="exact"/>
        <w:ind w:right="432"/>
        <w:jc w:val="both"/>
        <w:textAlignment w:val="baseline"/>
        <w:rPr>
          <w:rFonts w:ascii="Calibri" w:hAnsi="Calibri" w:cs="Calibri"/>
          <w:color w:val="050505"/>
          <w:sz w:val="22"/>
          <w:szCs w:val="22"/>
        </w:rPr>
      </w:pPr>
    </w:p>
    <w:p w14:paraId="74714192" w14:textId="77777777" w:rsidR="002B1BC0" w:rsidRPr="002B1BC0" w:rsidRDefault="002B1BC0" w:rsidP="002B1BC0">
      <w:pPr>
        <w:spacing w:before="116" w:line="276" w:lineRule="exact"/>
        <w:ind w:right="432"/>
        <w:jc w:val="center"/>
        <w:textAlignment w:val="baseline"/>
        <w:rPr>
          <w:rFonts w:ascii="Calibri" w:hAnsi="Calibri" w:cs="Calibri"/>
          <w:b/>
          <w:color w:val="050505"/>
          <w:sz w:val="22"/>
          <w:szCs w:val="22"/>
        </w:rPr>
      </w:pPr>
      <w:r w:rsidRPr="002B1BC0">
        <w:rPr>
          <w:rFonts w:ascii="Calibri" w:hAnsi="Calibri" w:cs="Calibri"/>
          <w:b/>
          <w:color w:val="050505"/>
          <w:sz w:val="22"/>
          <w:szCs w:val="22"/>
          <w:u w:val="single"/>
        </w:rPr>
        <w:t>Notice of Breach Incident</w:t>
      </w:r>
      <w:r w:rsidRPr="002B1BC0">
        <w:rPr>
          <w:rFonts w:ascii="Calibri" w:hAnsi="Calibri" w:cs="Calibri"/>
          <w:b/>
          <w:color w:val="050505"/>
          <w:sz w:val="22"/>
          <w:szCs w:val="22"/>
        </w:rPr>
        <w:t>:</w:t>
      </w:r>
    </w:p>
    <w:p w14:paraId="37ED70C1" w14:textId="5034F853" w:rsidR="00020922" w:rsidRDefault="0064525D" w:rsidP="00C06F8E">
      <w:pPr>
        <w:spacing w:before="116" w:line="276" w:lineRule="exact"/>
        <w:ind w:right="432"/>
        <w:jc w:val="both"/>
        <w:textAlignment w:val="baseline"/>
        <w:rPr>
          <w:rFonts w:ascii="Calibri" w:hAnsi="Calibri" w:cs="Calibri"/>
          <w:color w:val="050505"/>
          <w:sz w:val="22"/>
          <w:szCs w:val="22"/>
        </w:rPr>
      </w:pPr>
      <w:r>
        <w:rPr>
          <w:rFonts w:ascii="Calibri" w:hAnsi="Calibri" w:cs="Calibri"/>
          <w:color w:val="050505"/>
          <w:sz w:val="22"/>
          <w:szCs w:val="22"/>
        </w:rPr>
        <w:t>O</w:t>
      </w:r>
      <w:r w:rsidR="00C06F8E">
        <w:rPr>
          <w:rFonts w:ascii="Calibri" w:hAnsi="Calibri" w:cs="Calibri"/>
          <w:color w:val="050505"/>
          <w:sz w:val="22"/>
          <w:szCs w:val="22"/>
        </w:rPr>
        <w:t xml:space="preserve">n </w:t>
      </w:r>
      <w:r>
        <w:rPr>
          <w:rFonts w:ascii="Calibri" w:hAnsi="Calibri" w:cs="Calibri"/>
          <w:color w:val="050505"/>
          <w:sz w:val="22"/>
          <w:szCs w:val="22"/>
        </w:rPr>
        <w:t xml:space="preserve">February </w:t>
      </w:r>
      <w:r w:rsidR="002D5B67">
        <w:rPr>
          <w:rFonts w:ascii="Calibri" w:hAnsi="Calibri" w:cs="Calibri"/>
          <w:color w:val="050505"/>
          <w:sz w:val="22"/>
          <w:szCs w:val="22"/>
        </w:rPr>
        <w:t>2</w:t>
      </w:r>
      <w:r>
        <w:rPr>
          <w:rFonts w:ascii="Calibri" w:hAnsi="Calibri" w:cs="Calibri"/>
          <w:color w:val="050505"/>
          <w:sz w:val="22"/>
          <w:szCs w:val="22"/>
        </w:rPr>
        <w:t>8</w:t>
      </w:r>
      <w:r w:rsidR="002D5B67">
        <w:rPr>
          <w:rFonts w:ascii="Calibri" w:hAnsi="Calibri" w:cs="Calibri"/>
          <w:color w:val="050505"/>
          <w:sz w:val="22"/>
          <w:szCs w:val="22"/>
        </w:rPr>
        <w:t xml:space="preserve">, </w:t>
      </w:r>
      <w:r w:rsidR="001A6846">
        <w:rPr>
          <w:rFonts w:ascii="Calibri" w:hAnsi="Calibri" w:cs="Calibri"/>
          <w:color w:val="050505"/>
          <w:sz w:val="22"/>
          <w:szCs w:val="22"/>
        </w:rPr>
        <w:t>2023,</w:t>
      </w:r>
      <w:r w:rsidR="002D5B67">
        <w:rPr>
          <w:rFonts w:ascii="Calibri" w:hAnsi="Calibri" w:cs="Calibri"/>
          <w:color w:val="050505"/>
          <w:sz w:val="22"/>
          <w:szCs w:val="22"/>
        </w:rPr>
        <w:t xml:space="preserve"> </w:t>
      </w:r>
      <w:r w:rsidR="00C06F8E">
        <w:rPr>
          <w:rFonts w:ascii="Calibri" w:hAnsi="Calibri" w:cs="Calibri"/>
          <w:color w:val="050505"/>
          <w:sz w:val="22"/>
          <w:szCs w:val="22"/>
        </w:rPr>
        <w:t xml:space="preserve">we experienced an unauthorized system lockdown to our computer system.  We engaged computer forensic </w:t>
      </w:r>
      <w:r w:rsidR="001A6846">
        <w:rPr>
          <w:rFonts w:ascii="Calibri" w:hAnsi="Calibri" w:cs="Calibri"/>
          <w:color w:val="050505"/>
          <w:sz w:val="22"/>
          <w:szCs w:val="22"/>
        </w:rPr>
        <w:t>services and</w:t>
      </w:r>
      <w:r w:rsidR="00C06F8E">
        <w:rPr>
          <w:rFonts w:ascii="Calibri" w:hAnsi="Calibri" w:cs="Calibri"/>
          <w:color w:val="050505"/>
          <w:sz w:val="22"/>
          <w:szCs w:val="22"/>
        </w:rPr>
        <w:t xml:space="preserve"> have </w:t>
      </w:r>
      <w:r w:rsidR="002D5B67">
        <w:rPr>
          <w:rFonts w:ascii="Calibri" w:hAnsi="Calibri" w:cs="Calibri"/>
          <w:color w:val="050505"/>
          <w:sz w:val="22"/>
          <w:szCs w:val="22"/>
        </w:rPr>
        <w:t xml:space="preserve">determined </w:t>
      </w:r>
      <w:r w:rsidR="00C06F8E">
        <w:rPr>
          <w:rFonts w:ascii="Calibri" w:hAnsi="Calibri" w:cs="Calibri"/>
          <w:color w:val="050505"/>
          <w:sz w:val="22"/>
          <w:szCs w:val="22"/>
        </w:rPr>
        <w:t xml:space="preserve">that personally identifiable information (PII) from our files and other information from our computer system </w:t>
      </w:r>
      <w:r w:rsidR="002D5B67">
        <w:rPr>
          <w:rFonts w:ascii="Calibri" w:hAnsi="Calibri" w:cs="Calibri"/>
          <w:color w:val="050505"/>
          <w:sz w:val="22"/>
          <w:szCs w:val="22"/>
        </w:rPr>
        <w:t xml:space="preserve">were </w:t>
      </w:r>
      <w:r w:rsidR="00C06F8E">
        <w:rPr>
          <w:rFonts w:ascii="Calibri" w:hAnsi="Calibri" w:cs="Calibri"/>
          <w:color w:val="050505"/>
          <w:sz w:val="22"/>
          <w:szCs w:val="22"/>
        </w:rPr>
        <w:t>accessed and</w:t>
      </w:r>
      <w:r w:rsidR="002D5B67">
        <w:rPr>
          <w:rFonts w:ascii="Calibri" w:hAnsi="Calibri" w:cs="Calibri"/>
          <w:color w:val="050505"/>
          <w:sz w:val="22"/>
          <w:szCs w:val="22"/>
        </w:rPr>
        <w:t xml:space="preserve"> </w:t>
      </w:r>
      <w:r w:rsidR="00C06F8E">
        <w:rPr>
          <w:rFonts w:ascii="Calibri" w:hAnsi="Calibri" w:cs="Calibri"/>
          <w:color w:val="050505"/>
          <w:sz w:val="22"/>
          <w:szCs w:val="22"/>
        </w:rPr>
        <w:t>copied or otherwise stolen as a result of unauthorized access to our system</w:t>
      </w:r>
      <w:r>
        <w:rPr>
          <w:rFonts w:ascii="Calibri" w:hAnsi="Calibri" w:cs="Calibri"/>
          <w:color w:val="050505"/>
          <w:sz w:val="22"/>
          <w:szCs w:val="22"/>
        </w:rPr>
        <w:t xml:space="preserve">. Certain of such materials are now available on so called “dark web” sites. </w:t>
      </w:r>
      <w:r w:rsidR="00C06F8E">
        <w:rPr>
          <w:rFonts w:ascii="Calibri" w:hAnsi="Calibri" w:cs="Calibri"/>
          <w:color w:val="050505"/>
          <w:sz w:val="22"/>
          <w:szCs w:val="22"/>
        </w:rPr>
        <w:t xml:space="preserve"> </w:t>
      </w:r>
    </w:p>
    <w:p w14:paraId="2B0B798D" w14:textId="1BA6B522" w:rsidR="00020922" w:rsidRDefault="00C06F8E" w:rsidP="00C06F8E">
      <w:pPr>
        <w:spacing w:before="116" w:line="276" w:lineRule="exact"/>
        <w:ind w:right="432"/>
        <w:jc w:val="both"/>
        <w:textAlignment w:val="baseline"/>
        <w:rPr>
          <w:rFonts w:asciiTheme="minorHAnsi" w:hAnsiTheme="minorHAnsi" w:cstheme="minorHAnsi"/>
          <w:sz w:val="22"/>
          <w:szCs w:val="22"/>
        </w:rPr>
      </w:pPr>
      <w:r w:rsidRPr="00C06F8E">
        <w:rPr>
          <w:rFonts w:asciiTheme="minorHAnsi" w:hAnsiTheme="minorHAnsi" w:cstheme="minorHAnsi"/>
          <w:color w:val="050505"/>
          <w:sz w:val="22"/>
          <w:szCs w:val="22"/>
        </w:rPr>
        <w:t xml:space="preserve">We understand that the </w:t>
      </w:r>
      <w:r w:rsidR="00020922">
        <w:rPr>
          <w:rFonts w:asciiTheme="minorHAnsi" w:hAnsiTheme="minorHAnsi" w:cstheme="minorHAnsi"/>
          <w:color w:val="050505"/>
          <w:sz w:val="22"/>
          <w:szCs w:val="22"/>
        </w:rPr>
        <w:t xml:space="preserve">PII </w:t>
      </w:r>
      <w:r w:rsidR="0064525D">
        <w:rPr>
          <w:rFonts w:asciiTheme="minorHAnsi" w:hAnsiTheme="minorHAnsi" w:cstheme="minorHAnsi"/>
          <w:color w:val="050505"/>
          <w:sz w:val="22"/>
          <w:szCs w:val="22"/>
        </w:rPr>
        <w:t xml:space="preserve">involved </w:t>
      </w:r>
      <w:r w:rsidRPr="00C06F8E">
        <w:rPr>
          <w:rFonts w:asciiTheme="minorHAnsi" w:hAnsiTheme="minorHAnsi" w:cstheme="minorHAnsi"/>
          <w:color w:val="050505"/>
          <w:sz w:val="22"/>
          <w:szCs w:val="22"/>
        </w:rPr>
        <w:t>may include</w:t>
      </w:r>
      <w:r w:rsidR="00176CFE">
        <w:rPr>
          <w:rFonts w:asciiTheme="minorHAnsi" w:hAnsiTheme="minorHAnsi" w:cstheme="minorHAnsi"/>
          <w:color w:val="050505"/>
          <w:sz w:val="22"/>
          <w:szCs w:val="22"/>
        </w:rPr>
        <w:t xml:space="preserve"> social security numbers</w:t>
      </w:r>
      <w:r w:rsidR="00883D98">
        <w:rPr>
          <w:rFonts w:asciiTheme="minorHAnsi" w:hAnsiTheme="minorHAnsi" w:cstheme="minorHAnsi"/>
          <w:color w:val="050505"/>
          <w:sz w:val="22"/>
          <w:szCs w:val="22"/>
        </w:rPr>
        <w:t>,</w:t>
      </w:r>
      <w:r w:rsidRPr="00C06F8E">
        <w:rPr>
          <w:rFonts w:asciiTheme="minorHAnsi" w:hAnsiTheme="minorHAnsi" w:cstheme="minorHAnsi"/>
          <w:color w:val="050505"/>
          <w:sz w:val="22"/>
          <w:szCs w:val="22"/>
        </w:rPr>
        <w:t xml:space="preserve"> </w:t>
      </w:r>
      <w:r w:rsidR="0064525D">
        <w:rPr>
          <w:rFonts w:asciiTheme="minorHAnsi" w:hAnsiTheme="minorHAnsi" w:cstheme="minorHAnsi"/>
          <w:color w:val="050505"/>
          <w:sz w:val="22"/>
          <w:szCs w:val="22"/>
        </w:rPr>
        <w:t xml:space="preserve">and potentially other PII </w:t>
      </w:r>
      <w:r w:rsidR="00020922">
        <w:rPr>
          <w:rFonts w:asciiTheme="minorHAnsi" w:hAnsiTheme="minorHAnsi" w:cstheme="minorHAnsi"/>
          <w:sz w:val="22"/>
          <w:szCs w:val="22"/>
        </w:rPr>
        <w:t>among other information resident on our system</w:t>
      </w:r>
      <w:r w:rsidRPr="00C06F8E">
        <w:rPr>
          <w:rFonts w:asciiTheme="minorHAnsi" w:hAnsiTheme="minorHAnsi" w:cstheme="minorHAnsi"/>
          <w:sz w:val="22"/>
          <w:szCs w:val="22"/>
        </w:rPr>
        <w:t xml:space="preserve">. </w:t>
      </w:r>
    </w:p>
    <w:p w14:paraId="7242DD1A" w14:textId="7F068287" w:rsidR="00020922" w:rsidRDefault="00020922" w:rsidP="00C06F8E">
      <w:pPr>
        <w:spacing w:before="116" w:line="276" w:lineRule="exact"/>
        <w:ind w:right="432"/>
        <w:jc w:val="both"/>
        <w:textAlignment w:val="baseline"/>
        <w:rPr>
          <w:rFonts w:ascii="Calibri" w:hAnsi="Calibri" w:cs="Calibri"/>
          <w:color w:val="050505"/>
          <w:sz w:val="22"/>
          <w:szCs w:val="22"/>
        </w:rPr>
      </w:pPr>
      <w:r>
        <w:rPr>
          <w:rFonts w:ascii="Calibri" w:hAnsi="Calibri" w:cs="Calibri"/>
          <w:color w:val="050505"/>
          <w:sz w:val="22"/>
          <w:szCs w:val="22"/>
        </w:rPr>
        <w:t xml:space="preserve">As a result of the </w:t>
      </w:r>
      <w:r w:rsidR="002D5B67">
        <w:rPr>
          <w:rFonts w:ascii="Calibri" w:hAnsi="Calibri" w:cs="Calibri"/>
          <w:color w:val="050505"/>
          <w:sz w:val="22"/>
          <w:szCs w:val="22"/>
        </w:rPr>
        <w:t xml:space="preserve">forensic </w:t>
      </w:r>
      <w:r>
        <w:rPr>
          <w:rFonts w:ascii="Calibri" w:hAnsi="Calibri" w:cs="Calibri"/>
          <w:color w:val="050505"/>
          <w:sz w:val="22"/>
          <w:szCs w:val="22"/>
        </w:rPr>
        <w:t xml:space="preserve">investigation, we were advised that the system lock out resulted from the installation of ransomware known as </w:t>
      </w:r>
      <w:r w:rsidR="002D5B67">
        <w:rPr>
          <w:rFonts w:ascii="Calibri" w:hAnsi="Calibri" w:cs="Calibri"/>
          <w:color w:val="050505"/>
          <w:sz w:val="22"/>
          <w:szCs w:val="22"/>
        </w:rPr>
        <w:t xml:space="preserve">Royal Ransomware. </w:t>
      </w:r>
    </w:p>
    <w:p w14:paraId="0A292835" w14:textId="25885BEC" w:rsidR="003D36EF" w:rsidRDefault="003D36EF" w:rsidP="00C06F8E">
      <w:pPr>
        <w:spacing w:before="116" w:line="276" w:lineRule="exact"/>
        <w:ind w:right="432"/>
        <w:jc w:val="both"/>
        <w:textAlignment w:val="baseline"/>
        <w:rPr>
          <w:rFonts w:ascii="Calibri" w:hAnsi="Calibri" w:cs="Calibri"/>
          <w:color w:val="050505"/>
          <w:sz w:val="22"/>
          <w:szCs w:val="22"/>
        </w:rPr>
      </w:pPr>
      <w:r>
        <w:rPr>
          <w:rFonts w:ascii="Calibri" w:hAnsi="Calibri" w:cs="Calibri"/>
          <w:color w:val="050505"/>
          <w:sz w:val="22"/>
          <w:szCs w:val="22"/>
        </w:rPr>
        <w:t xml:space="preserve">Since the </w:t>
      </w:r>
      <w:r w:rsidR="0064525D">
        <w:rPr>
          <w:rFonts w:ascii="Calibri" w:hAnsi="Calibri" w:cs="Calibri"/>
          <w:color w:val="050505"/>
          <w:sz w:val="22"/>
          <w:szCs w:val="22"/>
        </w:rPr>
        <w:t xml:space="preserve">compromise of </w:t>
      </w:r>
      <w:r>
        <w:rPr>
          <w:rFonts w:ascii="Calibri" w:hAnsi="Calibri" w:cs="Calibri"/>
          <w:color w:val="050505"/>
          <w:sz w:val="22"/>
          <w:szCs w:val="22"/>
        </w:rPr>
        <w:t xml:space="preserve">our system could have included </w:t>
      </w:r>
      <w:r w:rsidR="0064525D">
        <w:rPr>
          <w:rFonts w:ascii="Calibri" w:hAnsi="Calibri" w:cs="Calibri"/>
          <w:color w:val="050505"/>
          <w:sz w:val="22"/>
          <w:szCs w:val="22"/>
        </w:rPr>
        <w:t>thes</w:t>
      </w:r>
      <w:r w:rsidR="00E54EAB">
        <w:rPr>
          <w:rFonts w:ascii="Calibri" w:hAnsi="Calibri" w:cs="Calibri"/>
          <w:color w:val="050505"/>
          <w:sz w:val="22"/>
          <w:szCs w:val="22"/>
        </w:rPr>
        <w:t>e</w:t>
      </w:r>
      <w:r w:rsidR="0064525D">
        <w:rPr>
          <w:rFonts w:ascii="Calibri" w:hAnsi="Calibri" w:cs="Calibri"/>
          <w:color w:val="050505"/>
          <w:sz w:val="22"/>
          <w:szCs w:val="22"/>
        </w:rPr>
        <w:t xml:space="preserve"> or </w:t>
      </w:r>
      <w:r>
        <w:rPr>
          <w:rFonts w:ascii="Calibri" w:hAnsi="Calibri" w:cs="Calibri"/>
          <w:color w:val="050505"/>
          <w:sz w:val="22"/>
          <w:szCs w:val="22"/>
        </w:rPr>
        <w:t xml:space="preserve">other files where PII may be, you should consider whether </w:t>
      </w:r>
      <w:r w:rsidR="0064525D">
        <w:rPr>
          <w:rFonts w:ascii="Calibri" w:hAnsi="Calibri" w:cs="Calibri"/>
          <w:color w:val="050505"/>
          <w:sz w:val="22"/>
          <w:szCs w:val="22"/>
        </w:rPr>
        <w:t xml:space="preserve">other </w:t>
      </w:r>
      <w:r>
        <w:rPr>
          <w:rFonts w:ascii="Calibri" w:hAnsi="Calibri" w:cs="Calibri"/>
          <w:color w:val="050505"/>
          <w:sz w:val="22"/>
          <w:szCs w:val="22"/>
        </w:rPr>
        <w:t xml:space="preserve">information </w:t>
      </w:r>
      <w:r w:rsidR="0064525D">
        <w:rPr>
          <w:rFonts w:ascii="Calibri" w:hAnsi="Calibri" w:cs="Calibri"/>
          <w:color w:val="050505"/>
          <w:sz w:val="22"/>
          <w:szCs w:val="22"/>
        </w:rPr>
        <w:t xml:space="preserve">relating to you and provided to AAA </w:t>
      </w:r>
      <w:r w:rsidR="00FF1628">
        <w:rPr>
          <w:rFonts w:ascii="Calibri" w:hAnsi="Calibri" w:cs="Calibri"/>
          <w:color w:val="050505"/>
          <w:sz w:val="22"/>
          <w:szCs w:val="22"/>
        </w:rPr>
        <w:t>Energy</w:t>
      </w:r>
      <w:r w:rsidR="0064525D">
        <w:rPr>
          <w:rFonts w:ascii="Calibri" w:hAnsi="Calibri" w:cs="Calibri"/>
          <w:color w:val="050505"/>
          <w:sz w:val="22"/>
          <w:szCs w:val="22"/>
        </w:rPr>
        <w:t xml:space="preserve"> Services </w:t>
      </w:r>
      <w:r>
        <w:rPr>
          <w:rFonts w:ascii="Calibri" w:hAnsi="Calibri" w:cs="Calibri"/>
          <w:color w:val="050505"/>
          <w:sz w:val="22"/>
          <w:szCs w:val="22"/>
        </w:rPr>
        <w:t xml:space="preserve">could have included additional PII whose compromise must be </w:t>
      </w:r>
      <w:r w:rsidR="0064525D">
        <w:rPr>
          <w:rFonts w:ascii="Calibri" w:hAnsi="Calibri" w:cs="Calibri"/>
          <w:color w:val="050505"/>
          <w:sz w:val="22"/>
          <w:szCs w:val="22"/>
        </w:rPr>
        <w:t xml:space="preserve">considered or </w:t>
      </w:r>
      <w:r>
        <w:rPr>
          <w:rFonts w:ascii="Calibri" w:hAnsi="Calibri" w:cs="Calibri"/>
          <w:color w:val="050505"/>
          <w:sz w:val="22"/>
          <w:szCs w:val="22"/>
        </w:rPr>
        <w:t xml:space="preserve">addressed. </w:t>
      </w:r>
    </w:p>
    <w:p w14:paraId="67F8332C" w14:textId="6820076B" w:rsidR="00020922" w:rsidRDefault="00020922" w:rsidP="00C06F8E">
      <w:pPr>
        <w:spacing w:before="116" w:line="276" w:lineRule="exact"/>
        <w:ind w:right="432"/>
        <w:jc w:val="both"/>
        <w:textAlignment w:val="baseline"/>
        <w:rPr>
          <w:rFonts w:ascii="Calibri" w:hAnsi="Calibri" w:cs="Calibri"/>
          <w:color w:val="050505"/>
          <w:sz w:val="22"/>
          <w:szCs w:val="22"/>
        </w:rPr>
      </w:pPr>
      <w:r>
        <w:rPr>
          <w:rFonts w:ascii="Calibri" w:hAnsi="Calibri" w:cs="Calibri"/>
          <w:color w:val="050505"/>
          <w:sz w:val="22"/>
          <w:szCs w:val="22"/>
        </w:rPr>
        <w:t xml:space="preserve">We have not </w:t>
      </w:r>
      <w:r w:rsidR="00875D52">
        <w:rPr>
          <w:rFonts w:ascii="Calibri" w:hAnsi="Calibri" w:cs="Calibri"/>
          <w:color w:val="050505"/>
          <w:sz w:val="22"/>
          <w:szCs w:val="22"/>
        </w:rPr>
        <w:t xml:space="preserve">paid a ransom to </w:t>
      </w:r>
      <w:r>
        <w:rPr>
          <w:rFonts w:ascii="Calibri" w:hAnsi="Calibri" w:cs="Calibri"/>
          <w:color w:val="050505"/>
          <w:sz w:val="22"/>
          <w:szCs w:val="22"/>
        </w:rPr>
        <w:t xml:space="preserve">the criminals responsible for this attack on our computer </w:t>
      </w:r>
      <w:r w:rsidR="001A6846">
        <w:rPr>
          <w:rFonts w:ascii="Calibri" w:hAnsi="Calibri" w:cs="Calibri"/>
          <w:color w:val="050505"/>
          <w:sz w:val="22"/>
          <w:szCs w:val="22"/>
        </w:rPr>
        <w:t>system,</w:t>
      </w:r>
      <w:r>
        <w:rPr>
          <w:rFonts w:ascii="Calibri" w:hAnsi="Calibri" w:cs="Calibri"/>
          <w:color w:val="050505"/>
          <w:sz w:val="22"/>
          <w:szCs w:val="22"/>
        </w:rPr>
        <w:t xml:space="preserve"> but we </w:t>
      </w:r>
      <w:r w:rsidR="0064525D">
        <w:rPr>
          <w:rFonts w:ascii="Calibri" w:hAnsi="Calibri" w:cs="Calibri"/>
          <w:color w:val="050505"/>
          <w:sz w:val="22"/>
          <w:szCs w:val="22"/>
        </w:rPr>
        <w:t xml:space="preserve">have notified federal authorities and </w:t>
      </w:r>
      <w:r w:rsidR="009839C0">
        <w:rPr>
          <w:rFonts w:ascii="Calibri" w:hAnsi="Calibri" w:cs="Calibri"/>
          <w:color w:val="050505"/>
          <w:sz w:val="22"/>
          <w:szCs w:val="22"/>
        </w:rPr>
        <w:t xml:space="preserve">are </w:t>
      </w:r>
      <w:r>
        <w:rPr>
          <w:rFonts w:ascii="Calibri" w:hAnsi="Calibri" w:cs="Calibri"/>
          <w:color w:val="050505"/>
          <w:sz w:val="22"/>
          <w:szCs w:val="22"/>
        </w:rPr>
        <w:t>notif</w:t>
      </w:r>
      <w:r w:rsidR="009839C0">
        <w:rPr>
          <w:rFonts w:ascii="Calibri" w:hAnsi="Calibri" w:cs="Calibri"/>
          <w:color w:val="050505"/>
          <w:sz w:val="22"/>
          <w:szCs w:val="22"/>
        </w:rPr>
        <w:t>ying</w:t>
      </w:r>
      <w:r>
        <w:rPr>
          <w:rFonts w:ascii="Calibri" w:hAnsi="Calibri" w:cs="Calibri"/>
          <w:color w:val="050505"/>
          <w:sz w:val="22"/>
          <w:szCs w:val="22"/>
        </w:rPr>
        <w:t xml:space="preserve"> </w:t>
      </w:r>
      <w:r w:rsidRPr="00B2287A">
        <w:rPr>
          <w:rFonts w:ascii="Calibri" w:hAnsi="Calibri" w:cs="Calibri"/>
          <w:color w:val="050505"/>
          <w:sz w:val="22"/>
          <w:szCs w:val="22"/>
        </w:rPr>
        <w:t xml:space="preserve">state attorneys general </w:t>
      </w:r>
      <w:r w:rsidR="002D5B67" w:rsidRPr="00B2287A">
        <w:rPr>
          <w:rFonts w:ascii="Calibri" w:hAnsi="Calibri" w:cs="Calibri"/>
          <w:color w:val="050505"/>
          <w:sz w:val="22"/>
          <w:szCs w:val="22"/>
        </w:rPr>
        <w:t xml:space="preserve">in New Hampshire and </w:t>
      </w:r>
      <w:r w:rsidRPr="00B2287A">
        <w:rPr>
          <w:rFonts w:ascii="Calibri" w:hAnsi="Calibri" w:cs="Calibri"/>
          <w:color w:val="050505"/>
          <w:sz w:val="22"/>
          <w:szCs w:val="22"/>
        </w:rPr>
        <w:t>in Maine</w:t>
      </w:r>
      <w:r w:rsidR="00B2287A">
        <w:rPr>
          <w:rFonts w:ascii="Calibri" w:hAnsi="Calibri" w:cs="Calibri"/>
          <w:color w:val="050505"/>
          <w:sz w:val="22"/>
          <w:szCs w:val="22"/>
        </w:rPr>
        <w:t xml:space="preserve">, </w:t>
      </w:r>
      <w:r w:rsidR="0064525D">
        <w:rPr>
          <w:rFonts w:ascii="Calibri" w:hAnsi="Calibri" w:cs="Calibri"/>
          <w:color w:val="050505"/>
          <w:sz w:val="22"/>
          <w:szCs w:val="22"/>
        </w:rPr>
        <w:t xml:space="preserve">in addition to </w:t>
      </w:r>
      <w:r w:rsidR="00DB3F38">
        <w:rPr>
          <w:rFonts w:ascii="Calibri" w:hAnsi="Calibri" w:cs="Calibri"/>
          <w:color w:val="050505"/>
          <w:sz w:val="22"/>
          <w:szCs w:val="22"/>
        </w:rPr>
        <w:t>the</w:t>
      </w:r>
      <w:r w:rsidR="001C5B76">
        <w:rPr>
          <w:rFonts w:ascii="Calibri" w:hAnsi="Calibri" w:cs="Calibri"/>
          <w:color w:val="050505"/>
          <w:sz w:val="22"/>
          <w:szCs w:val="22"/>
        </w:rPr>
        <w:t xml:space="preserve"> FB</w:t>
      </w:r>
      <w:r w:rsidR="00DB3F38">
        <w:rPr>
          <w:rFonts w:ascii="Calibri" w:hAnsi="Calibri" w:cs="Calibri"/>
          <w:color w:val="050505"/>
          <w:sz w:val="22"/>
          <w:szCs w:val="22"/>
        </w:rPr>
        <w:t>I.</w:t>
      </w:r>
      <w:r>
        <w:rPr>
          <w:rFonts w:ascii="Calibri" w:hAnsi="Calibri" w:cs="Calibri"/>
          <w:color w:val="050505"/>
          <w:sz w:val="22"/>
          <w:szCs w:val="22"/>
        </w:rPr>
        <w:t xml:space="preserve"> We have also implemented additional security measures in connection with our computer </w:t>
      </w:r>
      <w:r w:rsidR="001A6846">
        <w:rPr>
          <w:rFonts w:ascii="Calibri" w:hAnsi="Calibri" w:cs="Calibri"/>
          <w:color w:val="050505"/>
          <w:sz w:val="22"/>
          <w:szCs w:val="22"/>
        </w:rPr>
        <w:t>system and</w:t>
      </w:r>
      <w:r>
        <w:rPr>
          <w:rFonts w:ascii="Calibri" w:hAnsi="Calibri" w:cs="Calibri"/>
          <w:color w:val="050505"/>
          <w:sz w:val="22"/>
          <w:szCs w:val="22"/>
        </w:rPr>
        <w:t xml:space="preserve"> will be considering additional measures and policies to strengthen our system and reduce this risk which faces </w:t>
      </w:r>
      <w:r w:rsidR="0064525D">
        <w:rPr>
          <w:rFonts w:ascii="Calibri" w:hAnsi="Calibri" w:cs="Calibri"/>
          <w:color w:val="050505"/>
          <w:sz w:val="22"/>
          <w:szCs w:val="22"/>
        </w:rPr>
        <w:t xml:space="preserve">AAA Energy Services </w:t>
      </w:r>
      <w:r w:rsidR="003D36EF">
        <w:rPr>
          <w:rFonts w:ascii="Calibri" w:hAnsi="Calibri" w:cs="Calibri"/>
          <w:color w:val="050505"/>
          <w:sz w:val="22"/>
          <w:szCs w:val="22"/>
        </w:rPr>
        <w:t xml:space="preserve">and </w:t>
      </w:r>
      <w:r>
        <w:rPr>
          <w:rFonts w:ascii="Calibri" w:hAnsi="Calibri" w:cs="Calibri"/>
          <w:color w:val="050505"/>
          <w:sz w:val="22"/>
          <w:szCs w:val="22"/>
        </w:rPr>
        <w:t xml:space="preserve">everyone who uses computer systems and the internet.  </w:t>
      </w:r>
    </w:p>
    <w:p w14:paraId="37D0087C" w14:textId="77777777" w:rsidR="00020922" w:rsidRPr="00020922" w:rsidRDefault="00020922" w:rsidP="00020922">
      <w:pPr>
        <w:spacing w:before="116" w:line="276" w:lineRule="exact"/>
        <w:ind w:right="432"/>
        <w:jc w:val="center"/>
        <w:textAlignment w:val="baseline"/>
        <w:rPr>
          <w:rFonts w:ascii="Calibri" w:hAnsi="Calibri" w:cs="Calibri"/>
          <w:b/>
          <w:color w:val="050505"/>
          <w:sz w:val="22"/>
          <w:szCs w:val="22"/>
        </w:rPr>
      </w:pPr>
      <w:r w:rsidRPr="00020922">
        <w:rPr>
          <w:rFonts w:ascii="Calibri" w:hAnsi="Calibri" w:cs="Calibri"/>
          <w:b/>
          <w:color w:val="050505"/>
          <w:sz w:val="22"/>
          <w:szCs w:val="22"/>
        </w:rPr>
        <w:t xml:space="preserve">What You Can Do To Minimize </w:t>
      </w:r>
      <w:r w:rsidR="00FA3CBF">
        <w:rPr>
          <w:rFonts w:ascii="Calibri" w:hAnsi="Calibri" w:cs="Calibri"/>
          <w:b/>
          <w:color w:val="050505"/>
          <w:sz w:val="22"/>
          <w:szCs w:val="22"/>
        </w:rPr>
        <w:t xml:space="preserve">Your </w:t>
      </w:r>
      <w:r w:rsidRPr="00020922">
        <w:rPr>
          <w:rFonts w:ascii="Calibri" w:hAnsi="Calibri" w:cs="Calibri"/>
          <w:b/>
          <w:color w:val="050505"/>
          <w:sz w:val="22"/>
          <w:szCs w:val="22"/>
        </w:rPr>
        <w:t>Risks And Impacts Of Identity Theft</w:t>
      </w:r>
    </w:p>
    <w:p w14:paraId="42E24D4C" w14:textId="76F3B6F1" w:rsidR="00487697" w:rsidRDefault="003D36EF" w:rsidP="00C06F8E">
      <w:pPr>
        <w:spacing w:before="116" w:line="276" w:lineRule="exact"/>
        <w:ind w:right="432"/>
        <w:jc w:val="both"/>
        <w:textAlignment w:val="baseline"/>
        <w:rPr>
          <w:rFonts w:ascii="Calibri" w:hAnsi="Calibri" w:cs="Calibri"/>
          <w:color w:val="050505"/>
          <w:sz w:val="22"/>
          <w:szCs w:val="22"/>
        </w:rPr>
      </w:pPr>
      <w:r>
        <w:rPr>
          <w:rFonts w:ascii="Calibri" w:hAnsi="Calibri" w:cs="Calibri"/>
          <w:color w:val="050505"/>
          <w:sz w:val="22"/>
          <w:szCs w:val="22"/>
        </w:rPr>
        <w:t xml:space="preserve">The principal risks from stolen PII include unauthorized credit risks and risks to governmental </w:t>
      </w:r>
      <w:r w:rsidR="00487697">
        <w:rPr>
          <w:rFonts w:ascii="Calibri" w:hAnsi="Calibri" w:cs="Calibri"/>
          <w:color w:val="050505"/>
          <w:sz w:val="22"/>
          <w:szCs w:val="22"/>
        </w:rPr>
        <w:t xml:space="preserve">transactions including tax returns and government benefits.  </w:t>
      </w:r>
      <w:r w:rsidR="00FA3CBF">
        <w:rPr>
          <w:rFonts w:ascii="Calibri" w:hAnsi="Calibri" w:cs="Calibri"/>
          <w:color w:val="050505"/>
          <w:sz w:val="22"/>
          <w:szCs w:val="22"/>
        </w:rPr>
        <w:t xml:space="preserve">Attached to this email is a pdf </w:t>
      </w:r>
      <w:r>
        <w:rPr>
          <w:rFonts w:ascii="Calibri" w:hAnsi="Calibri" w:cs="Calibri"/>
          <w:color w:val="050505"/>
          <w:sz w:val="22"/>
          <w:szCs w:val="22"/>
        </w:rPr>
        <w:t xml:space="preserve">from the </w:t>
      </w:r>
      <w:r w:rsidR="00CF50E3">
        <w:rPr>
          <w:rFonts w:ascii="Calibri" w:hAnsi="Calibri" w:cs="Calibri"/>
          <w:color w:val="050505"/>
          <w:sz w:val="22"/>
          <w:szCs w:val="22"/>
        </w:rPr>
        <w:t xml:space="preserve">Social Security Administration </w:t>
      </w:r>
      <w:r w:rsidR="00FA3CBF">
        <w:rPr>
          <w:rFonts w:ascii="Calibri" w:hAnsi="Calibri" w:cs="Calibri"/>
          <w:color w:val="050505"/>
          <w:sz w:val="22"/>
          <w:szCs w:val="22"/>
        </w:rPr>
        <w:t>reflecting governmental resources</w:t>
      </w:r>
      <w:r w:rsidR="00CF50E3">
        <w:rPr>
          <w:rFonts w:ascii="Calibri" w:hAnsi="Calibri" w:cs="Calibri"/>
          <w:color w:val="050505"/>
          <w:sz w:val="22"/>
          <w:szCs w:val="22"/>
        </w:rPr>
        <w:t xml:space="preserve"> available when social security numbers have been stolen and/or used</w:t>
      </w:r>
      <w:r w:rsidR="00FA3CBF">
        <w:rPr>
          <w:rFonts w:ascii="Calibri" w:hAnsi="Calibri" w:cs="Calibri"/>
          <w:color w:val="050505"/>
          <w:sz w:val="22"/>
          <w:szCs w:val="22"/>
        </w:rPr>
        <w:t xml:space="preserve">.  </w:t>
      </w:r>
    </w:p>
    <w:p w14:paraId="7EBC24B0" w14:textId="0326E1A4" w:rsidR="00487697" w:rsidRDefault="00487697" w:rsidP="00C06F8E">
      <w:pPr>
        <w:spacing w:before="116" w:line="276" w:lineRule="exact"/>
        <w:ind w:right="432"/>
        <w:jc w:val="both"/>
        <w:textAlignment w:val="baseline"/>
        <w:rPr>
          <w:rFonts w:ascii="Calibri" w:hAnsi="Calibri" w:cs="Calibri"/>
          <w:color w:val="050505"/>
          <w:sz w:val="22"/>
          <w:szCs w:val="22"/>
        </w:rPr>
      </w:pPr>
      <w:r>
        <w:rPr>
          <w:rFonts w:ascii="Calibri" w:hAnsi="Calibri" w:cs="Calibri"/>
          <w:color w:val="050505"/>
          <w:sz w:val="22"/>
          <w:szCs w:val="22"/>
        </w:rPr>
        <w:t xml:space="preserve">With respect to risks involving tax </w:t>
      </w:r>
      <w:r w:rsidR="00CF50E3">
        <w:rPr>
          <w:rFonts w:ascii="Calibri" w:hAnsi="Calibri" w:cs="Calibri"/>
          <w:color w:val="050505"/>
          <w:sz w:val="22"/>
          <w:szCs w:val="22"/>
        </w:rPr>
        <w:t xml:space="preserve">filings and </w:t>
      </w:r>
      <w:r>
        <w:rPr>
          <w:rFonts w:ascii="Calibri" w:hAnsi="Calibri" w:cs="Calibri"/>
          <w:color w:val="050505"/>
          <w:sz w:val="22"/>
          <w:szCs w:val="22"/>
        </w:rPr>
        <w:t xml:space="preserve">refunds </w:t>
      </w:r>
      <w:r w:rsidR="00CF50E3">
        <w:rPr>
          <w:rFonts w:ascii="Calibri" w:hAnsi="Calibri" w:cs="Calibri"/>
          <w:color w:val="050505"/>
          <w:sz w:val="22"/>
          <w:szCs w:val="22"/>
        </w:rPr>
        <w:t>we urge you to review information from the IRS (</w:t>
      </w:r>
      <w:hyperlink r:id="rId6" w:history="1">
        <w:r w:rsidR="00CF50E3" w:rsidRPr="00AF15F0">
          <w:rPr>
            <w:rStyle w:val="Hyperlink"/>
            <w:rFonts w:ascii="Calibri" w:hAnsi="Calibri" w:cs="Calibri"/>
            <w:sz w:val="22"/>
            <w:szCs w:val="22"/>
          </w:rPr>
          <w:t>https://www.irs.gov/newsroom/taxpayer-guide-to-identity-theft</w:t>
        </w:r>
      </w:hyperlink>
      <w:r w:rsidR="00CF50E3">
        <w:rPr>
          <w:rFonts w:ascii="Calibri" w:hAnsi="Calibri" w:cs="Calibri"/>
          <w:color w:val="050505"/>
          <w:sz w:val="22"/>
          <w:szCs w:val="22"/>
        </w:rPr>
        <w:t>)</w:t>
      </w:r>
      <w:r>
        <w:rPr>
          <w:rFonts w:ascii="Calibri" w:hAnsi="Calibri" w:cs="Calibri"/>
          <w:color w:val="050505"/>
          <w:sz w:val="22"/>
          <w:szCs w:val="22"/>
        </w:rPr>
        <w:t xml:space="preserve">.  </w:t>
      </w:r>
    </w:p>
    <w:p w14:paraId="12D86A1A" w14:textId="77777777" w:rsidR="00487697" w:rsidRDefault="00487697" w:rsidP="00487697">
      <w:pPr>
        <w:rPr>
          <w:rFonts w:ascii="Calibri" w:hAnsi="Calibri" w:cs="Calibri"/>
          <w:color w:val="050505"/>
          <w:sz w:val="22"/>
          <w:szCs w:val="22"/>
        </w:rPr>
      </w:pPr>
    </w:p>
    <w:p w14:paraId="44688332" w14:textId="601AE724" w:rsidR="00875D52" w:rsidRDefault="00875D52" w:rsidP="00487697">
      <w:pPr>
        <w:rPr>
          <w:rFonts w:ascii="Calibri" w:hAnsi="Calibri" w:cs="Calibri"/>
          <w:color w:val="050505"/>
          <w:sz w:val="22"/>
          <w:szCs w:val="22"/>
        </w:rPr>
      </w:pPr>
      <w:r>
        <w:rPr>
          <w:rFonts w:ascii="Calibri" w:hAnsi="Calibri" w:cs="Calibri"/>
          <w:color w:val="050505"/>
          <w:sz w:val="22"/>
          <w:szCs w:val="22"/>
        </w:rPr>
        <w:t>With respect to risks regarding Social Security, we enclose a copy of a pamphlet from the Social Security Administration entitled "Identity Theft And Your Social Security Number.”</w:t>
      </w:r>
    </w:p>
    <w:p w14:paraId="03224B90" w14:textId="77777777" w:rsidR="00875D52" w:rsidRDefault="00875D52" w:rsidP="00487697">
      <w:pPr>
        <w:rPr>
          <w:rFonts w:ascii="Calibri" w:hAnsi="Calibri" w:cs="Calibri"/>
          <w:color w:val="050505"/>
          <w:sz w:val="22"/>
          <w:szCs w:val="22"/>
        </w:rPr>
      </w:pPr>
    </w:p>
    <w:p w14:paraId="136B2C28" w14:textId="3DDB886C" w:rsidR="00487697" w:rsidRDefault="00487697" w:rsidP="00487697">
      <w:r>
        <w:rPr>
          <w:rFonts w:ascii="Calibri" w:hAnsi="Calibri" w:cs="Calibri"/>
          <w:color w:val="050505"/>
          <w:sz w:val="22"/>
          <w:szCs w:val="22"/>
        </w:rPr>
        <w:t xml:space="preserve">With respect to unauthorized credit risks, it is recommended that you </w:t>
      </w:r>
      <w:r w:rsidR="002B1BC0">
        <w:rPr>
          <w:rFonts w:ascii="Calibri" w:hAnsi="Calibri" w:cs="Calibri"/>
          <w:color w:val="050505"/>
          <w:sz w:val="22"/>
          <w:szCs w:val="22"/>
        </w:rPr>
        <w:t xml:space="preserve">immediately </w:t>
      </w:r>
      <w:r>
        <w:rPr>
          <w:rFonts w:ascii="Calibri" w:hAnsi="Calibri" w:cs="Calibri"/>
          <w:color w:val="050505"/>
          <w:sz w:val="22"/>
          <w:szCs w:val="22"/>
        </w:rPr>
        <w:t xml:space="preserve">lock </w:t>
      </w:r>
      <w:r w:rsidR="00FA3CBF">
        <w:rPr>
          <w:rFonts w:ascii="Calibri" w:hAnsi="Calibri" w:cs="Calibri"/>
          <w:color w:val="050505"/>
          <w:sz w:val="22"/>
          <w:szCs w:val="22"/>
        </w:rPr>
        <w:t>down your credit reports with each of the credit rating agencies (E.g.</w:t>
      </w:r>
      <w:r w:rsidR="007257BE">
        <w:rPr>
          <w:rFonts w:ascii="Calibri" w:hAnsi="Calibri" w:cs="Calibri"/>
          <w:color w:val="050505"/>
          <w:sz w:val="22"/>
          <w:szCs w:val="22"/>
        </w:rPr>
        <w:t>Ch</w:t>
      </w:r>
      <w:r w:rsidR="00FA3CBF">
        <w:rPr>
          <w:rFonts w:ascii="Calibri" w:hAnsi="Calibri" w:cs="Calibri"/>
          <w:color w:val="050505"/>
          <w:sz w:val="22"/>
          <w:szCs w:val="22"/>
        </w:rPr>
        <w:t xml:space="preserve"> Transunion, Experian, etc.) if you have not already done so</w:t>
      </w:r>
      <w:r>
        <w:rPr>
          <w:rFonts w:ascii="Calibri" w:hAnsi="Calibri" w:cs="Calibri"/>
          <w:color w:val="050505"/>
          <w:sz w:val="22"/>
          <w:szCs w:val="22"/>
        </w:rPr>
        <w:t xml:space="preserve">.  When locked, no third parties are allowed to make credit inquiries </w:t>
      </w:r>
      <w:r w:rsidR="002D5B67">
        <w:rPr>
          <w:rFonts w:ascii="Calibri" w:hAnsi="Calibri" w:cs="Calibri"/>
          <w:color w:val="050505"/>
          <w:sz w:val="22"/>
          <w:szCs w:val="22"/>
        </w:rPr>
        <w:t xml:space="preserve">or open credit accounts in your name </w:t>
      </w:r>
      <w:r>
        <w:rPr>
          <w:rFonts w:ascii="Calibri" w:hAnsi="Calibri" w:cs="Calibri"/>
          <w:color w:val="050505"/>
          <w:sz w:val="22"/>
          <w:szCs w:val="22"/>
        </w:rPr>
        <w:t xml:space="preserve">even if they have your social security number, unless and until you unlock your account for that purpose.  Further information on this process is available here: </w:t>
      </w:r>
      <w:hyperlink r:id="rId7" w:history="1">
        <w:r w:rsidRPr="00A42689">
          <w:rPr>
            <w:rStyle w:val="Hyperlink"/>
          </w:rPr>
          <w:t>https://www.nerdwallet.com/article/finance/how-to-freeze-credit</w:t>
        </w:r>
      </w:hyperlink>
      <w:r>
        <w:t xml:space="preserve"> </w:t>
      </w:r>
    </w:p>
    <w:p w14:paraId="132BE132" w14:textId="77777777" w:rsidR="00875D52" w:rsidRDefault="00875D52" w:rsidP="002B1BC0">
      <w:pPr>
        <w:spacing w:before="116" w:line="276" w:lineRule="exact"/>
        <w:ind w:right="432"/>
        <w:jc w:val="both"/>
        <w:textAlignment w:val="baseline"/>
        <w:rPr>
          <w:rFonts w:ascii="Calibri" w:hAnsi="Calibri" w:cs="Calibri"/>
          <w:sz w:val="22"/>
          <w:szCs w:val="22"/>
        </w:rPr>
      </w:pPr>
    </w:p>
    <w:p w14:paraId="1189C3AA" w14:textId="68795E84" w:rsidR="00CA1543" w:rsidRDefault="00487697" w:rsidP="002B1BC0">
      <w:pPr>
        <w:spacing w:before="116" w:line="276" w:lineRule="exact"/>
        <w:ind w:right="432"/>
        <w:jc w:val="both"/>
        <w:textAlignment w:val="baseline"/>
        <w:rPr>
          <w:rFonts w:ascii="Calibri" w:hAnsi="Calibri" w:cs="Calibri"/>
          <w:sz w:val="22"/>
          <w:szCs w:val="22"/>
        </w:rPr>
      </w:pPr>
      <w:r>
        <w:rPr>
          <w:rFonts w:ascii="Calibri" w:hAnsi="Calibri" w:cs="Calibri"/>
          <w:sz w:val="22"/>
          <w:szCs w:val="22"/>
        </w:rPr>
        <w:lastRenderedPageBreak/>
        <w:t xml:space="preserve">While some commentators believe that third party credit and/or identity theft monitoring is unnecessary if your credit reports are locked, we leave that decision to you and are willing to </w:t>
      </w:r>
      <w:r w:rsidR="002B1BC0">
        <w:rPr>
          <w:rFonts w:ascii="Calibri" w:hAnsi="Calibri" w:cs="Calibri"/>
          <w:sz w:val="22"/>
          <w:szCs w:val="22"/>
        </w:rPr>
        <w:t xml:space="preserve">reimburse </w:t>
      </w:r>
      <w:r>
        <w:rPr>
          <w:rFonts w:ascii="Calibri" w:hAnsi="Calibri" w:cs="Calibri"/>
          <w:sz w:val="22"/>
          <w:szCs w:val="22"/>
        </w:rPr>
        <w:t>the reasonable costs of such monitoring</w:t>
      </w:r>
      <w:r w:rsidR="002B1BC0">
        <w:rPr>
          <w:rFonts w:ascii="Calibri" w:hAnsi="Calibri" w:cs="Calibri"/>
          <w:sz w:val="22"/>
          <w:szCs w:val="22"/>
        </w:rPr>
        <w:t xml:space="preserve"> for a period of </w:t>
      </w:r>
      <w:r w:rsidR="002B1BC0" w:rsidRPr="00D63408">
        <w:rPr>
          <w:rFonts w:ascii="Calibri" w:hAnsi="Calibri" w:cs="Calibri"/>
          <w:sz w:val="22"/>
          <w:szCs w:val="22"/>
        </w:rPr>
        <w:t>3</w:t>
      </w:r>
      <w:r w:rsidR="002B1BC0">
        <w:rPr>
          <w:rFonts w:ascii="Calibri" w:hAnsi="Calibri" w:cs="Calibri"/>
          <w:sz w:val="22"/>
          <w:szCs w:val="22"/>
        </w:rPr>
        <w:t xml:space="preserve"> months for any employee, with copies of the monitoring reporting from the service. For example, we note that Equifax Complete provides such services for 19.95 per month.  Other similar reasonable cost services may be used with our prior consent. </w:t>
      </w:r>
    </w:p>
    <w:p w14:paraId="0BC49958" w14:textId="39A683EF" w:rsidR="002D5B67" w:rsidRDefault="002D5B67" w:rsidP="002B1BC0">
      <w:pPr>
        <w:spacing w:before="116" w:line="276" w:lineRule="exact"/>
        <w:ind w:right="432"/>
        <w:jc w:val="both"/>
        <w:textAlignment w:val="baseline"/>
        <w:rPr>
          <w:rFonts w:ascii="Calibri" w:hAnsi="Calibri" w:cs="Calibri"/>
          <w:sz w:val="22"/>
          <w:szCs w:val="22"/>
        </w:rPr>
      </w:pPr>
      <w:r>
        <w:rPr>
          <w:rFonts w:ascii="Calibri" w:hAnsi="Calibri" w:cs="Calibri"/>
          <w:sz w:val="22"/>
          <w:szCs w:val="22"/>
        </w:rPr>
        <w:t xml:space="preserve">Please contact </w:t>
      </w:r>
      <w:r w:rsidR="00D63408">
        <w:rPr>
          <w:rFonts w:ascii="Calibri" w:hAnsi="Calibri" w:cs="Calibri"/>
          <w:sz w:val="22"/>
          <w:szCs w:val="22"/>
        </w:rPr>
        <w:t xml:space="preserve">me </w:t>
      </w:r>
      <w:r>
        <w:rPr>
          <w:rFonts w:ascii="Calibri" w:hAnsi="Calibri" w:cs="Calibri"/>
          <w:sz w:val="22"/>
          <w:szCs w:val="22"/>
        </w:rPr>
        <w:t xml:space="preserve">if you have any questions, or if you receive any information that your personally identifiable information may have been used without your permission. </w:t>
      </w:r>
    </w:p>
    <w:p w14:paraId="70CAE0FA" w14:textId="30B69C61" w:rsidR="002D5B67" w:rsidRDefault="002D5B67" w:rsidP="002B1BC0">
      <w:pPr>
        <w:spacing w:before="116" w:line="276" w:lineRule="exact"/>
        <w:ind w:right="432"/>
        <w:jc w:val="both"/>
        <w:textAlignment w:val="baseline"/>
        <w:rPr>
          <w:rFonts w:ascii="Calibri" w:hAnsi="Calibri" w:cs="Calibri"/>
          <w:sz w:val="22"/>
          <w:szCs w:val="22"/>
        </w:rPr>
      </w:pPr>
      <w:r>
        <w:rPr>
          <w:rFonts w:ascii="Calibri" w:hAnsi="Calibri" w:cs="Calibri"/>
          <w:sz w:val="22"/>
          <w:szCs w:val="22"/>
        </w:rPr>
        <w:t>Regards,</w:t>
      </w:r>
    </w:p>
    <w:p w14:paraId="6899F2D4" w14:textId="750594B1" w:rsidR="002D5B67" w:rsidRDefault="002D5B67" w:rsidP="002B1BC0">
      <w:pPr>
        <w:spacing w:before="116" w:line="276" w:lineRule="exact"/>
        <w:ind w:right="432"/>
        <w:jc w:val="both"/>
        <w:textAlignment w:val="baseline"/>
        <w:rPr>
          <w:rFonts w:ascii="Calibri" w:hAnsi="Calibri" w:cs="Calibri"/>
          <w:sz w:val="22"/>
          <w:szCs w:val="22"/>
        </w:rPr>
      </w:pPr>
    </w:p>
    <w:p w14:paraId="552697F9" w14:textId="67F1C262" w:rsidR="002D5B67" w:rsidRDefault="00CF50E3" w:rsidP="002B1BC0">
      <w:pPr>
        <w:spacing w:before="116" w:line="276" w:lineRule="exact"/>
        <w:ind w:right="432"/>
        <w:jc w:val="both"/>
        <w:textAlignment w:val="baseline"/>
        <w:rPr>
          <w:rFonts w:ascii="Calibri" w:hAnsi="Calibri" w:cs="Calibri"/>
          <w:sz w:val="22"/>
          <w:szCs w:val="22"/>
        </w:rPr>
      </w:pPr>
      <w:r>
        <w:rPr>
          <w:rFonts w:ascii="Calibri" w:hAnsi="Calibri" w:cs="Calibri"/>
          <w:sz w:val="22"/>
          <w:szCs w:val="22"/>
        </w:rPr>
        <w:t>Chad Everett</w:t>
      </w:r>
    </w:p>
    <w:p w14:paraId="735F0341" w14:textId="4FEB6917" w:rsidR="00875D52" w:rsidRDefault="00875D52" w:rsidP="002B1BC0">
      <w:pPr>
        <w:spacing w:before="116" w:line="276" w:lineRule="exact"/>
        <w:ind w:right="432"/>
        <w:jc w:val="both"/>
        <w:textAlignment w:val="baseline"/>
        <w:rPr>
          <w:rFonts w:ascii="Calibri" w:hAnsi="Calibri" w:cs="Calibri"/>
          <w:sz w:val="22"/>
          <w:szCs w:val="22"/>
        </w:rPr>
      </w:pPr>
      <w:r>
        <w:rPr>
          <w:rFonts w:ascii="Calibri" w:hAnsi="Calibri" w:cs="Calibri"/>
          <w:sz w:val="22"/>
          <w:szCs w:val="22"/>
        </w:rPr>
        <w:t>Service Manager</w:t>
      </w:r>
    </w:p>
    <w:p w14:paraId="4D477099" w14:textId="77777777" w:rsidR="00875D52" w:rsidRDefault="00875D52" w:rsidP="00875D52">
      <w:pPr>
        <w:spacing w:before="116" w:line="276" w:lineRule="exact"/>
        <w:ind w:right="432"/>
        <w:jc w:val="both"/>
        <w:textAlignment w:val="baseline"/>
        <w:rPr>
          <w:rFonts w:ascii="Calibri" w:hAnsi="Calibri" w:cs="Calibri"/>
          <w:sz w:val="22"/>
          <w:szCs w:val="22"/>
        </w:rPr>
      </w:pPr>
      <w:r>
        <w:rPr>
          <w:rFonts w:ascii="Calibri" w:hAnsi="Calibri" w:cs="Calibri"/>
          <w:sz w:val="22"/>
          <w:szCs w:val="22"/>
        </w:rPr>
        <w:t xml:space="preserve">AAA Energy Service Co. </w:t>
      </w:r>
    </w:p>
    <w:p w14:paraId="4C824987" w14:textId="405A290D" w:rsidR="00875D52" w:rsidRDefault="00875D52" w:rsidP="002B1BC0">
      <w:pPr>
        <w:spacing w:before="116" w:line="276" w:lineRule="exact"/>
        <w:ind w:right="432"/>
        <w:jc w:val="both"/>
        <w:textAlignment w:val="baseline"/>
        <w:rPr>
          <w:rFonts w:ascii="Calibri" w:hAnsi="Calibri" w:cs="Calibri"/>
          <w:sz w:val="22"/>
          <w:szCs w:val="22"/>
        </w:rPr>
      </w:pPr>
      <w:r>
        <w:rPr>
          <w:rFonts w:ascii="Calibri" w:hAnsi="Calibri" w:cs="Calibri"/>
          <w:sz w:val="22"/>
          <w:szCs w:val="22"/>
        </w:rPr>
        <w:t>(</w:t>
      </w:r>
      <w:r w:rsidRPr="00875D52">
        <w:rPr>
          <w:rFonts w:ascii="Calibri" w:hAnsi="Calibri" w:cs="Calibri"/>
          <w:sz w:val="22"/>
          <w:szCs w:val="22"/>
        </w:rPr>
        <w:t>207</w:t>
      </w:r>
      <w:r>
        <w:rPr>
          <w:rFonts w:ascii="Calibri" w:hAnsi="Calibri" w:cs="Calibri"/>
          <w:sz w:val="22"/>
          <w:szCs w:val="22"/>
        </w:rPr>
        <w:t xml:space="preserve">) </w:t>
      </w:r>
      <w:r w:rsidRPr="00875D52">
        <w:rPr>
          <w:rFonts w:ascii="Calibri" w:hAnsi="Calibri" w:cs="Calibri"/>
          <w:sz w:val="22"/>
          <w:szCs w:val="22"/>
        </w:rPr>
        <w:t>883</w:t>
      </w:r>
      <w:r>
        <w:rPr>
          <w:rFonts w:ascii="Calibri" w:hAnsi="Calibri" w:cs="Calibri"/>
          <w:sz w:val="22"/>
          <w:szCs w:val="22"/>
        </w:rPr>
        <w:t>-</w:t>
      </w:r>
      <w:r w:rsidRPr="00875D52">
        <w:rPr>
          <w:rFonts w:ascii="Calibri" w:hAnsi="Calibri" w:cs="Calibri"/>
          <w:sz w:val="22"/>
          <w:szCs w:val="22"/>
        </w:rPr>
        <w:t>1473</w:t>
      </w:r>
    </w:p>
    <w:p w14:paraId="4B6EAE4C" w14:textId="77777777" w:rsidR="00875D52" w:rsidRDefault="00875D52" w:rsidP="002B1BC0">
      <w:pPr>
        <w:spacing w:before="116" w:line="276" w:lineRule="exact"/>
        <w:ind w:right="432"/>
        <w:jc w:val="both"/>
        <w:textAlignment w:val="baseline"/>
        <w:rPr>
          <w:rFonts w:ascii="Calibri" w:hAnsi="Calibri" w:cs="Calibri"/>
          <w:sz w:val="22"/>
          <w:szCs w:val="22"/>
        </w:rPr>
      </w:pPr>
    </w:p>
    <w:p w14:paraId="1DCDAFDF" w14:textId="103B7C92" w:rsidR="002D5B67" w:rsidRDefault="002D5B67" w:rsidP="002B1BC0">
      <w:pPr>
        <w:spacing w:before="116" w:line="276" w:lineRule="exact"/>
        <w:ind w:right="432"/>
        <w:jc w:val="both"/>
        <w:textAlignment w:val="baseline"/>
        <w:rPr>
          <w:rFonts w:ascii="Calibri" w:hAnsi="Calibri" w:cs="Calibri"/>
          <w:sz w:val="22"/>
          <w:szCs w:val="22"/>
        </w:rPr>
      </w:pPr>
      <w:r>
        <w:rPr>
          <w:rFonts w:ascii="Calibri" w:hAnsi="Calibri" w:cs="Calibri"/>
          <w:sz w:val="22"/>
          <w:szCs w:val="22"/>
        </w:rPr>
        <w:t xml:space="preserve"> </w:t>
      </w:r>
    </w:p>
    <w:p w14:paraId="1B6B052E" w14:textId="77777777" w:rsidR="002D5B67" w:rsidRDefault="002D5B67" w:rsidP="002B1BC0">
      <w:pPr>
        <w:spacing w:before="116" w:line="276" w:lineRule="exact"/>
        <w:ind w:right="432"/>
        <w:jc w:val="both"/>
        <w:textAlignment w:val="baseline"/>
      </w:pPr>
    </w:p>
    <w:p w14:paraId="6D240F05" w14:textId="77777777" w:rsidR="00487697" w:rsidRDefault="00487697"/>
    <w:p w14:paraId="1B6130D9" w14:textId="77777777" w:rsidR="002B1BC0" w:rsidRDefault="002B1BC0"/>
    <w:p w14:paraId="7A9BBC63" w14:textId="77777777" w:rsidR="002B1BC0" w:rsidRDefault="002B1BC0"/>
    <w:sectPr w:rsidR="002B1BC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97578" w14:textId="77777777" w:rsidR="00A612CB" w:rsidRDefault="00A612CB" w:rsidP="00A612CB">
      <w:r>
        <w:separator/>
      </w:r>
    </w:p>
  </w:endnote>
  <w:endnote w:type="continuationSeparator" w:id="0">
    <w:p w14:paraId="655AEA2A" w14:textId="77777777" w:rsidR="00A612CB" w:rsidRDefault="00A612CB" w:rsidP="00A61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0758b7f0-b7c2-48ab-9257-ba40"/>
  <w:p w14:paraId="3D98ADF4" w14:textId="77777777" w:rsidR="00875D52" w:rsidRDefault="00875D52">
    <w:pPr>
      <w:pStyle w:val="DocID"/>
    </w:pPr>
    <w:r>
      <w:fldChar w:fldCharType="begin"/>
    </w:r>
    <w:r>
      <w:instrText xml:space="preserve">  DOCPROPERTY "CUS_DocIDChunk0" </w:instrText>
    </w:r>
    <w:r>
      <w:fldChar w:fldCharType="separate"/>
    </w:r>
    <w:r>
      <w:rPr>
        <w:noProof/>
      </w:rPr>
      <w:t>iManageDB1\112227\000000\4498854.v1-5/6/23</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iDocIDFieldad7b29ed-278a-4905-98cc-1b47"/>
  <w:p w14:paraId="797B21B4" w14:textId="77777777" w:rsidR="00875D52" w:rsidRDefault="00875D52">
    <w:pPr>
      <w:pStyle w:val="DocID"/>
    </w:pPr>
    <w:r>
      <w:fldChar w:fldCharType="begin"/>
    </w:r>
    <w:r>
      <w:instrText xml:space="preserve">  DOCPROPERTY "CUS_DocIDChunk0" </w:instrText>
    </w:r>
    <w:r>
      <w:fldChar w:fldCharType="separate"/>
    </w:r>
    <w:r>
      <w:rPr>
        <w:noProof/>
      </w:rPr>
      <w:t>iManageDB1\112227\000000\4498854.v1-5/6/23</w:t>
    </w:r>
    <w:r>
      <w:fldChar w:fldCharType="end"/>
    </w:r>
    <w:bookmarkEnd w:id="1"/>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2" w:name="_iDocIDField287b5859-ed70-4253-b0b7-ee80"/>
  <w:p w14:paraId="46B0610F" w14:textId="77777777" w:rsidR="00875D52" w:rsidRDefault="00875D52">
    <w:pPr>
      <w:pStyle w:val="DocID"/>
    </w:pPr>
    <w:r>
      <w:fldChar w:fldCharType="begin"/>
    </w:r>
    <w:r>
      <w:instrText xml:space="preserve">  DOCPROPERTY "CUS_DocIDChunk0" </w:instrText>
    </w:r>
    <w:r>
      <w:fldChar w:fldCharType="separate"/>
    </w:r>
    <w:r>
      <w:rPr>
        <w:noProof/>
      </w:rPr>
      <w:t>iManageDB1\112227\000000\4498854.v1-5/6/23</w:t>
    </w:r>
    <w:r>
      <w:fldChar w:fldCharType="end"/>
    </w:r>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70DB6" w14:textId="77777777" w:rsidR="00A612CB" w:rsidRDefault="00A612CB" w:rsidP="00A612CB">
      <w:r>
        <w:separator/>
      </w:r>
    </w:p>
  </w:footnote>
  <w:footnote w:type="continuationSeparator" w:id="0">
    <w:p w14:paraId="37BBF33A" w14:textId="77777777" w:rsidR="00A612CB" w:rsidRDefault="00A612CB" w:rsidP="00A612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3E66" w14:textId="77777777" w:rsidR="00C8552E" w:rsidRDefault="00C855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084FD" w14:textId="77777777" w:rsidR="00C8552E" w:rsidRDefault="00C855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40BA" w14:textId="77777777" w:rsidR="00C8552E" w:rsidRDefault="00C855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F8E"/>
    <w:rsid w:val="00020922"/>
    <w:rsid w:val="001335AD"/>
    <w:rsid w:val="00176CFE"/>
    <w:rsid w:val="001A6846"/>
    <w:rsid w:val="001B2D05"/>
    <w:rsid w:val="001C5B76"/>
    <w:rsid w:val="0023277A"/>
    <w:rsid w:val="002469B9"/>
    <w:rsid w:val="002A21A4"/>
    <w:rsid w:val="002B1BC0"/>
    <w:rsid w:val="002C7A9C"/>
    <w:rsid w:val="002D5B67"/>
    <w:rsid w:val="003D36EF"/>
    <w:rsid w:val="00487697"/>
    <w:rsid w:val="004C41A5"/>
    <w:rsid w:val="005212F8"/>
    <w:rsid w:val="00532F3D"/>
    <w:rsid w:val="00603994"/>
    <w:rsid w:val="0064525D"/>
    <w:rsid w:val="0068367F"/>
    <w:rsid w:val="007257BE"/>
    <w:rsid w:val="00742CEC"/>
    <w:rsid w:val="008244AB"/>
    <w:rsid w:val="00875D52"/>
    <w:rsid w:val="00883D98"/>
    <w:rsid w:val="008B4AA0"/>
    <w:rsid w:val="00933E55"/>
    <w:rsid w:val="009839C0"/>
    <w:rsid w:val="009F6345"/>
    <w:rsid w:val="00A2588E"/>
    <w:rsid w:val="00A612CB"/>
    <w:rsid w:val="00AC22F2"/>
    <w:rsid w:val="00B13FDF"/>
    <w:rsid w:val="00B2287A"/>
    <w:rsid w:val="00C06F8E"/>
    <w:rsid w:val="00C54AF5"/>
    <w:rsid w:val="00C8552E"/>
    <w:rsid w:val="00CA1543"/>
    <w:rsid w:val="00CF50E3"/>
    <w:rsid w:val="00D04CA5"/>
    <w:rsid w:val="00D63408"/>
    <w:rsid w:val="00DB3F38"/>
    <w:rsid w:val="00E54EAB"/>
    <w:rsid w:val="00EC44E7"/>
    <w:rsid w:val="00F772C8"/>
    <w:rsid w:val="00FA3CBF"/>
    <w:rsid w:val="00FA4790"/>
    <w:rsid w:val="00FD5B6C"/>
    <w:rsid w:val="00FD7A85"/>
    <w:rsid w:val="00FF1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3CF56"/>
  <w15:chartTrackingRefBased/>
  <w15:docId w15:val="{A63AF8CF-BC59-45DF-9855-A1593CBF4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8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ID">
    <w:name w:val="DocID"/>
    <w:basedOn w:val="Footer"/>
    <w:next w:val="Footer"/>
    <w:link w:val="DocIDChar"/>
    <w:rsid w:val="00A612CB"/>
    <w:pPr>
      <w:tabs>
        <w:tab w:val="clear" w:pos="4680"/>
        <w:tab w:val="clear" w:pos="9360"/>
      </w:tabs>
      <w:textAlignment w:val="baseline"/>
    </w:pPr>
    <w:rPr>
      <w:sz w:val="18"/>
      <w:szCs w:val="22"/>
    </w:rPr>
  </w:style>
  <w:style w:type="character" w:customStyle="1" w:styleId="DocIDChar">
    <w:name w:val="DocID Char"/>
    <w:basedOn w:val="DefaultParagraphFont"/>
    <w:link w:val="DocID"/>
    <w:rsid w:val="00A612CB"/>
    <w:rPr>
      <w:rFonts w:ascii="Times New Roman" w:eastAsia="Times New Roman" w:hAnsi="Times New Roman" w:cs="Times New Roman"/>
      <w:sz w:val="18"/>
    </w:rPr>
  </w:style>
  <w:style w:type="paragraph" w:styleId="Footer">
    <w:name w:val="footer"/>
    <w:basedOn w:val="Normal"/>
    <w:link w:val="FooterChar"/>
    <w:uiPriority w:val="99"/>
    <w:unhideWhenUsed/>
    <w:rsid w:val="00A612CB"/>
    <w:pPr>
      <w:tabs>
        <w:tab w:val="center" w:pos="4680"/>
        <w:tab w:val="right" w:pos="9360"/>
      </w:tabs>
    </w:pPr>
  </w:style>
  <w:style w:type="character" w:customStyle="1" w:styleId="FooterChar">
    <w:name w:val="Footer Char"/>
    <w:basedOn w:val="DefaultParagraphFont"/>
    <w:link w:val="Footer"/>
    <w:uiPriority w:val="99"/>
    <w:rsid w:val="00A612CB"/>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612CB"/>
    <w:pPr>
      <w:tabs>
        <w:tab w:val="center" w:pos="4680"/>
        <w:tab w:val="right" w:pos="9360"/>
      </w:tabs>
    </w:pPr>
  </w:style>
  <w:style w:type="character" w:customStyle="1" w:styleId="HeaderChar">
    <w:name w:val="Header Char"/>
    <w:basedOn w:val="DefaultParagraphFont"/>
    <w:link w:val="Header"/>
    <w:uiPriority w:val="99"/>
    <w:rsid w:val="00A612C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87697"/>
    <w:rPr>
      <w:color w:val="0563C1" w:themeColor="hyperlink"/>
      <w:u w:val="single"/>
    </w:rPr>
  </w:style>
  <w:style w:type="character" w:styleId="FollowedHyperlink">
    <w:name w:val="FollowedHyperlink"/>
    <w:basedOn w:val="DefaultParagraphFont"/>
    <w:uiPriority w:val="99"/>
    <w:semiHidden/>
    <w:unhideWhenUsed/>
    <w:rsid w:val="002D5B67"/>
    <w:rPr>
      <w:color w:val="954F72" w:themeColor="followedHyperlink"/>
      <w:u w:val="single"/>
    </w:rPr>
  </w:style>
  <w:style w:type="character" w:styleId="UnresolvedMention">
    <w:name w:val="Unresolved Mention"/>
    <w:basedOn w:val="DefaultParagraphFont"/>
    <w:uiPriority w:val="99"/>
    <w:semiHidden/>
    <w:unhideWhenUsed/>
    <w:rsid w:val="00CF50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nerdwallet.com/article/finance/how-to-freeze-credit"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rs.gov/newsroom/taxpayer-guide-to-identity-thef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Sano, Joseph S.</dc:creator>
  <cp:keywords/>
  <dc:description/>
  <cp:lastModifiedBy>Joseph Sano</cp:lastModifiedBy>
  <cp:revision>2</cp:revision>
  <cp:lastPrinted>2023-03-13T18:44:00Z</cp:lastPrinted>
  <dcterms:created xsi:type="dcterms:W3CDTF">2023-05-06T19:54:00Z</dcterms:created>
  <dcterms:modified xsi:type="dcterms:W3CDTF">2023-05-06T19:54:00Z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iManageDB1\112227\000000\4498854.v1-5/6/23</vt:lpwstr>
  </property>
  <property fmtid="{D5CDD505-2E9C-101B-9397-08002B2CF9AE}" pid="3" name="CUS_DocIDChunk0">
    <vt:lpwstr>iManageDB1\112227\000000\4498854.v1-5/6/23</vt:lpwstr>
  </property>
  <property fmtid="{D5CDD505-2E9C-101B-9397-08002B2CF9AE}" pid="4" name="CUS_DocIDActiveBits">
    <vt:lpwstr>1017856</vt:lpwstr>
  </property>
  <property fmtid="{D5CDD505-2E9C-101B-9397-08002B2CF9AE}" pid="5" name="CUS_DocIDLocation">
    <vt:lpwstr>EVERY_PAGE</vt:lpwstr>
  </property>
  <property fmtid="{D5CDD505-2E9C-101B-9397-08002B2CF9AE}" pid="6" name="CUS_DocIDDisableNotifications">
    <vt:lpwstr/>
  </property>
</Properties>
</file>